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FEE3A" w14:textId="0DD87076" w:rsidR="00994317" w:rsidRPr="00B266B0" w:rsidRDefault="00994317" w:rsidP="0099431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9B4E88" w:rsidRPr="009B4E88">
        <w:rPr>
          <w:bCs/>
          <w:noProof w:val="0"/>
          <w:sz w:val="24"/>
          <w:szCs w:val="24"/>
        </w:rPr>
        <w:t>1907061</w:t>
      </w:r>
    </w:p>
    <w:p w14:paraId="58F2F30C" w14:textId="4EE185B0" w:rsidR="00994317" w:rsidRPr="00465587" w:rsidRDefault="00994317" w:rsidP="00994317">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00C81E94">
        <w:rPr>
          <w:rFonts w:eastAsia="SimSun"/>
          <w:i/>
          <w:noProof w:val="0"/>
          <w:sz w:val="24"/>
          <w:szCs w:val="24"/>
          <w:lang w:eastAsia="zh-CN"/>
        </w:rPr>
        <w:t xml:space="preserve">Resubmission of </w:t>
      </w:r>
      <w:r>
        <w:rPr>
          <w:rFonts w:eastAsia="SimSun"/>
          <w:i/>
          <w:noProof w:val="0"/>
          <w:sz w:val="24"/>
          <w:szCs w:val="24"/>
          <w:lang w:eastAsia="zh-CN"/>
        </w:rPr>
        <w:t>R2-1904025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D228B6" w:rsidR="00A209D6" w:rsidRPr="00212C18" w:rsidRDefault="00A209D6" w:rsidP="00A209D6">
      <w:pPr>
        <w:pStyle w:val="CRCoverPage"/>
        <w:tabs>
          <w:tab w:val="left" w:pos="1985"/>
        </w:tabs>
        <w:rPr>
          <w:rFonts w:cs="Arial"/>
          <w:b/>
          <w:bCs/>
          <w:sz w:val="24"/>
          <w:lang w:eastAsia="ja-JP"/>
        </w:rPr>
      </w:pPr>
      <w:r w:rsidRPr="00C81E94">
        <w:rPr>
          <w:rFonts w:cs="Arial"/>
          <w:b/>
          <w:bCs/>
          <w:sz w:val="24"/>
        </w:rPr>
        <w:t>Agenda item:</w:t>
      </w:r>
      <w:r w:rsidRPr="00C81E94">
        <w:rPr>
          <w:rFonts w:cs="Arial"/>
          <w:b/>
          <w:bCs/>
          <w:sz w:val="24"/>
        </w:rPr>
        <w:tab/>
      </w:r>
      <w:r w:rsidR="00AB057E" w:rsidRPr="00C81E94">
        <w:rPr>
          <w:rFonts w:cs="Arial"/>
          <w:b/>
          <w:bCs/>
          <w:sz w:val="24"/>
          <w:lang w:eastAsia="ja-JP"/>
        </w:rPr>
        <w:t>11</w:t>
      </w:r>
      <w:r w:rsidRPr="00C81E94">
        <w:rPr>
          <w:rFonts w:cs="Arial"/>
          <w:b/>
          <w:bCs/>
          <w:sz w:val="24"/>
          <w:lang w:eastAsia="ja-JP"/>
        </w:rPr>
        <w:t>.</w:t>
      </w:r>
      <w:r w:rsidR="00AB057E" w:rsidRPr="00C81E94">
        <w:rPr>
          <w:rFonts w:cs="Arial"/>
          <w:b/>
          <w:bCs/>
          <w:sz w:val="24"/>
          <w:lang w:eastAsia="ja-JP"/>
        </w:rPr>
        <w:t>1</w:t>
      </w:r>
      <w:r w:rsidRPr="00C81E94">
        <w:rPr>
          <w:rFonts w:cs="Arial"/>
          <w:b/>
          <w:bCs/>
          <w:sz w:val="24"/>
          <w:lang w:eastAsia="ja-JP"/>
        </w:rPr>
        <w:t>.</w:t>
      </w:r>
      <w:r w:rsidR="007D0FA6" w:rsidRPr="00C81E94">
        <w:rPr>
          <w:rFonts w:cs="Arial"/>
          <w:b/>
          <w:bCs/>
          <w:sz w:val="24"/>
          <w:lang w:eastAsia="ja-JP"/>
        </w:rPr>
        <w:t>4</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35783FC5"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E1058E">
        <w:rPr>
          <w:rFonts w:ascii="Arial" w:hAnsi="Arial" w:cs="Arial"/>
          <w:b/>
          <w:bCs/>
          <w:sz w:val="24"/>
        </w:rPr>
        <w:t>Predictive BSR for IAB</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1295FC4A" w:rsidR="00A209D6" w:rsidRDefault="00A209D6" w:rsidP="00A209D6">
      <w:pPr>
        <w:pStyle w:val="Heading1"/>
      </w:pPr>
      <w:r w:rsidRPr="00212C18">
        <w:t>1</w:t>
      </w:r>
      <w:r w:rsidRPr="00212C18">
        <w:tab/>
        <w:t>Introduction</w:t>
      </w:r>
    </w:p>
    <w:p w14:paraId="1EFC58D5" w14:textId="2E72B96D" w:rsidR="007E44CC" w:rsidRPr="007E44CC" w:rsidRDefault="007E44CC" w:rsidP="007E44CC">
      <w:r>
        <w:t>WID objectives refers: “</w:t>
      </w:r>
      <w:r w:rsidRPr="00FC0643">
        <w:rPr>
          <w:i/>
        </w:rPr>
        <w:t>Hop-by-hop propagation of signalling to support low latency scheduling (e.g. TR 38.874 clause 8.6)</w:t>
      </w:r>
      <w:r>
        <w:t>” and “</w:t>
      </w:r>
      <w:r w:rsidRPr="00FC0643">
        <w:rPr>
          <w:i/>
        </w:rPr>
        <w:t>Specification for enhancement for uplink resource request procedure and related signalling to enable low latency uplink data scheduling</w:t>
      </w:r>
      <w:r>
        <w:t>”. TR describes the problem:</w:t>
      </w:r>
    </w:p>
    <w:tbl>
      <w:tblPr>
        <w:tblStyle w:val="TableGrid"/>
        <w:tblpPr w:leftFromText="141" w:rightFromText="141" w:vertAnchor="text" w:tblpY="1"/>
        <w:tblOverlap w:val="never"/>
        <w:tblW w:w="0" w:type="auto"/>
        <w:tblLook w:val="04A0" w:firstRow="1" w:lastRow="0" w:firstColumn="1" w:lastColumn="0" w:noHBand="0" w:noVBand="1"/>
      </w:tblPr>
      <w:tblGrid>
        <w:gridCol w:w="9631"/>
      </w:tblGrid>
      <w:tr w:rsidR="007E44CC" w14:paraId="62E85775" w14:textId="77777777" w:rsidTr="007E44CC">
        <w:tc>
          <w:tcPr>
            <w:tcW w:w="9631" w:type="dxa"/>
          </w:tcPr>
          <w:p w14:paraId="74CA7FF0" w14:textId="77777777" w:rsidR="007E44CC" w:rsidRPr="00E23CFA" w:rsidRDefault="007E44CC" w:rsidP="007E44CC">
            <w:pPr>
              <w:pStyle w:val="Heading2"/>
            </w:pPr>
            <w:bookmarkStart w:id="1" w:name="_Toc534901196"/>
            <w:r w:rsidRPr="00E23CFA">
              <w:t>8.6</w:t>
            </w:r>
            <w:r w:rsidRPr="00E23CFA">
              <w:tab/>
              <w:t>Latency in UL scheduling</w:t>
            </w:r>
            <w:bookmarkEnd w:id="1"/>
          </w:p>
          <w:p w14:paraId="179B2089" w14:textId="77777777" w:rsidR="007E44CC" w:rsidRPr="00E23CFA" w:rsidRDefault="007E44CC" w:rsidP="007E44CC">
            <w:pPr>
              <w:rPr>
                <w:rFonts w:ascii="Calibri" w:eastAsia="Malgun Gothic" w:hAnsi="Calibri"/>
                <w:sz w:val="22"/>
                <w:szCs w:val="22"/>
              </w:rPr>
            </w:pPr>
            <w:r w:rsidRPr="00E23CFA">
              <w:t xml:space="preserve">Increased latency due to multiple hops in an IAB network can adversely impact the performance of both control plane procedures (such as handover and radio link recovery) and also user plane data transmission. </w:t>
            </w:r>
            <w:r w:rsidRPr="00E23CFA">
              <w:rPr>
                <w:lang w:eastAsia="ko-KR"/>
              </w:rPr>
              <w:t>In order to achieve hop agnostic performance in IAB scheduling, it is important to reduce the E2E delay from the UE to the IAB-donor, and meet the latency requirement, regardless of how many hops the UE is away from the IAB-donor.</w:t>
            </w:r>
          </w:p>
          <w:p w14:paraId="353BF579" w14:textId="77777777" w:rsidR="007E44CC" w:rsidRPr="00E23CFA" w:rsidRDefault="007E44CC" w:rsidP="007E44CC">
            <w:r w:rsidRPr="00E23CFA">
              <w:t>In multi-hop networks, upstream data arriving from a child node may suffer scheduling delays at the parent node and intermediate nodes. To some extent, this is no different from a single-hop UE where new data arrives into UE buffers after a BSR is sent. However, in a multi-hop network, the delays are likely to accumulate due to number of hops and aggregated volume of data at IAB-nodes and may require mitigation mechanisms. Request of uplink resources at each hop and UL data transmission are shown in Figure 8.6-1.</w:t>
            </w:r>
          </w:p>
          <w:p w14:paraId="5844E44B" w14:textId="79998288" w:rsidR="007E44CC" w:rsidRPr="00E23CFA" w:rsidRDefault="007E44CC" w:rsidP="007E44CC">
            <w:pPr>
              <w:pStyle w:val="TH"/>
            </w:pPr>
            <w:r w:rsidRPr="00E23CFA">
              <w:rPr>
                <w:rFonts w:eastAsia="Malgun Gothic"/>
              </w:rPr>
              <w:object w:dxaOrig="6825" w:dyaOrig="5085" w14:anchorId="4209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244.15pt" o:ole="">
                  <v:imagedata r:id="rId13" o:title=""/>
                </v:shape>
                <o:OLEObject Type="Embed" ProgID="Visio.Drawing.15" ShapeID="_x0000_i1025" DrawAspect="Content" ObjectID="_1618323202" r:id="rId14"/>
              </w:object>
            </w:r>
          </w:p>
          <w:p w14:paraId="65F6FA12" w14:textId="77777777" w:rsidR="007E44CC" w:rsidRPr="00E23CFA" w:rsidRDefault="007E44CC" w:rsidP="007E44CC">
            <w:pPr>
              <w:pStyle w:val="TF"/>
            </w:pPr>
            <w:r w:rsidRPr="00E23CFA">
              <w:t>Figure 8.6-1: Uplink Delays in IAB Network: worst case scenario, where none of the intermediate nodes have any UL resources allocated to them</w:t>
            </w:r>
          </w:p>
          <w:p w14:paraId="4EE462CC" w14:textId="77777777" w:rsidR="007E44CC" w:rsidRPr="00E23CFA" w:rsidRDefault="007E44CC" w:rsidP="007E44CC">
            <w:pPr>
              <w:rPr>
                <w:lang w:eastAsia="ko-KR"/>
              </w:rPr>
            </w:pPr>
            <w:r w:rsidRPr="00E23CFA">
              <w:lastRenderedPageBreak/>
              <w:t>It is clear that this process can be significantly longer than the corresponding process in one-hop networks, due to the multiple consecutive uplink resource request and allocation steps. The underlying reason for these delays is that the MT part of an IAB-node can only request uplink resources for the UL data transmission after it actually receives the data to be transmitted.</w:t>
            </w:r>
          </w:p>
          <w:p w14:paraId="2AAF1948" w14:textId="77777777" w:rsidR="007E44CC" w:rsidRPr="00E23CFA" w:rsidRDefault="007E44CC" w:rsidP="007E44CC">
            <w:r w:rsidRPr="00E23CFA">
              <w:t>One approach to mitigate such delays consists of initiating an uplink resource request at an IAB-node based on data that is expected to arrive. This would enable the IAB-node to obtain the uplink resource prior to actual data reception from its child IAB-node or a UE that it serves.</w:t>
            </w:r>
          </w:p>
          <w:p w14:paraId="1A69AB96" w14:textId="77777777" w:rsidR="007E44CC" w:rsidRDefault="007E44CC" w:rsidP="007E44CC">
            <w:r w:rsidRPr="00E23CFA">
              <w:t>The details of the content and triggers of the SR/BSR and UL scheduling are left for the WI phase.</w:t>
            </w:r>
          </w:p>
        </w:tc>
      </w:tr>
    </w:tbl>
    <w:p w14:paraId="40DA9B28" w14:textId="113191E0" w:rsidR="00FC0643" w:rsidRDefault="00FC0643" w:rsidP="00FC0643"/>
    <w:p w14:paraId="35B5E929" w14:textId="3F2770EF" w:rsidR="007E44CC" w:rsidRPr="00212C18" w:rsidRDefault="007E44CC" w:rsidP="00FC0643">
      <w:r>
        <w:t>In this contribution we discuss the possible solutions and propose way forward.</w:t>
      </w:r>
    </w:p>
    <w:p w14:paraId="2BBFF540" w14:textId="672444DB" w:rsidR="00A209D6" w:rsidRDefault="00A209D6" w:rsidP="00A209D6">
      <w:pPr>
        <w:pStyle w:val="Heading1"/>
      </w:pPr>
      <w:r w:rsidRPr="00212C18">
        <w:t>2</w:t>
      </w:r>
      <w:r w:rsidRPr="00212C18">
        <w:tab/>
      </w:r>
      <w:r w:rsidR="00E1058E">
        <w:t>Discussion</w:t>
      </w:r>
    </w:p>
    <w:p w14:paraId="7572830F" w14:textId="28672F69" w:rsidR="007E44CC" w:rsidRDefault="001F4CA8" w:rsidP="007E44CC">
      <w:r>
        <w:t xml:space="preserve">It is apparent from the TR 38.874 as well as from many contributions on the topic [1]-[9] that the buffer status reporting has to be enhanced for IAB nodes. Many contributions propose to trigger buffer status reporting in an IAB node MT when SR or BSR is received from a child node </w:t>
      </w:r>
      <w:r w:rsidR="002556D7">
        <w:t xml:space="preserve">[1], </w:t>
      </w:r>
      <w:r w:rsidR="00F41052">
        <w:t xml:space="preserve">[2], </w:t>
      </w:r>
      <w:r w:rsidR="002556D7">
        <w:t>[4], [7]. In [3], it is proposed that RAN2 should decide whether the additional data available for transmission is the data volume associated with the UL grant sent to UE/child IAB node or the BSR received from the UE/child IAB node.</w:t>
      </w:r>
    </w:p>
    <w:p w14:paraId="5E7BFB28" w14:textId="5F7F1024" w:rsidR="00214D89" w:rsidRDefault="002556D7" w:rsidP="007E44CC">
      <w:r>
        <w:t>The data volume reported by a child IAB node or an access UE connected to an IAB node DU represents the data available in the child IAB node or the access UE. However, the parent IAB node may not have enough resources</w:t>
      </w:r>
      <w:r w:rsidR="00F628FB">
        <w:t xml:space="preserve"> (in it’s backhaul link or access link)</w:t>
      </w:r>
      <w:r>
        <w:t xml:space="preserve"> to schedule all that data </w:t>
      </w:r>
      <w:r w:rsidR="00F628FB">
        <w:t>and therefore, the parent node may send much smaller UL grants. Therefore, it is better to use as additional data available for transmission the data volume associated with the UL grants sent by the IAB node since that gives more realistic view of the expected data volume.</w:t>
      </w:r>
      <w:r w:rsidR="00F41052">
        <w:t xml:space="preserve"> This will reduce the amount of wasted UL grants.</w:t>
      </w:r>
    </w:p>
    <w:p w14:paraId="6B9799F2" w14:textId="35757E1A" w:rsidR="00A738BA" w:rsidRDefault="295ADDAC" w:rsidP="007E44CC">
      <w:r>
        <w:t>Since the BSR is reporting both available data and expected data, we propose to call it “Predictive BSR”. A new MAC CE should be introduced for the “Predictive BSR”.</w:t>
      </w:r>
    </w:p>
    <w:p w14:paraId="6022E1A6" w14:textId="707986FF" w:rsidR="00A738BA" w:rsidRDefault="00A738BA" w:rsidP="007E44CC">
      <w:r w:rsidRPr="00F41052">
        <w:rPr>
          <w:b/>
        </w:rPr>
        <w:t>Proposal 1:</w:t>
      </w:r>
      <w:r>
        <w:t xml:space="preserve"> Introduce new MAC CE for the new type of BSR including both available and expected data and</w:t>
      </w:r>
      <w:r w:rsidR="00AB149E">
        <w:t xml:space="preserve"> call it “Predictive BSR”.</w:t>
      </w:r>
    </w:p>
    <w:p w14:paraId="3AFCF7A6" w14:textId="714F587A" w:rsidR="007E44CE" w:rsidRDefault="00214D89" w:rsidP="007E44CC">
      <w:r w:rsidRPr="00F41052">
        <w:rPr>
          <w:b/>
        </w:rPr>
        <w:t xml:space="preserve">Proposal </w:t>
      </w:r>
      <w:r w:rsidR="00AB149E" w:rsidRPr="00F41052">
        <w:rPr>
          <w:b/>
        </w:rPr>
        <w:t>2</w:t>
      </w:r>
      <w:r w:rsidRPr="00F41052">
        <w:rPr>
          <w:b/>
        </w:rPr>
        <w:t>:</w:t>
      </w:r>
      <w:r>
        <w:t xml:space="preserve"> Predictive BSR should be triggered based on UL grants sent to child nodes and access UEs, not based on received SR/BSR.</w:t>
      </w:r>
    </w:p>
    <w:p w14:paraId="18F41CD6" w14:textId="15ADF311" w:rsidR="00DA265E" w:rsidRPr="007E44CC" w:rsidRDefault="00214D89" w:rsidP="007E44CC">
      <w:r w:rsidRPr="00F41052">
        <w:rPr>
          <w:b/>
        </w:rPr>
        <w:t xml:space="preserve">Proposal </w:t>
      </w:r>
      <w:r w:rsidR="00AB149E" w:rsidRPr="00F41052">
        <w:rPr>
          <w:b/>
        </w:rPr>
        <w:t>3</w:t>
      </w:r>
      <w:r w:rsidRPr="00F41052">
        <w:rPr>
          <w:b/>
        </w:rPr>
        <w:t>:</w:t>
      </w:r>
      <w:r>
        <w:t xml:space="preserve"> Predictive BSR should take</w:t>
      </w:r>
      <w:r w:rsidR="00DA265E">
        <w:t xml:space="preserve"> into account</w:t>
      </w:r>
      <w:r w:rsidR="00DA265E">
        <w:br/>
        <w:t>- data volume already in the IAB node buffer</w:t>
      </w:r>
      <w:r w:rsidR="00DA265E">
        <w:br/>
        <w:t>- expected/predicted data volume based on sent UL grants</w:t>
      </w:r>
      <w:r w:rsidR="005D59F2">
        <w:t>.</w:t>
      </w:r>
    </w:p>
    <w:p w14:paraId="5FF2457F" w14:textId="75107F13" w:rsidR="00A209D6" w:rsidRPr="00212C18" w:rsidRDefault="00A209D6" w:rsidP="00A209D6">
      <w:pPr>
        <w:pStyle w:val="Heading1"/>
      </w:pPr>
      <w:r w:rsidRPr="00212C18">
        <w:t>3</w:t>
      </w:r>
      <w:r w:rsidRPr="00212C18">
        <w:tab/>
      </w:r>
      <w:r w:rsidR="003E2413" w:rsidRPr="00212C18">
        <w:t>Conclusions</w:t>
      </w:r>
    </w:p>
    <w:p w14:paraId="1D4ED603" w14:textId="243BFFE2" w:rsidR="005D59F2" w:rsidRDefault="005D59F2" w:rsidP="005D59F2">
      <w:pPr>
        <w:rPr>
          <w:b/>
        </w:rPr>
      </w:pPr>
      <w:r w:rsidRPr="005D59F2">
        <w:t xml:space="preserve">Sending </w:t>
      </w:r>
      <w:r>
        <w:t>BSR based on the amount of expected data was discussed and the following is proposed:</w:t>
      </w:r>
    </w:p>
    <w:p w14:paraId="552AC121" w14:textId="0980627C" w:rsidR="005D59F2" w:rsidRDefault="005D59F2" w:rsidP="005D59F2">
      <w:r w:rsidRPr="00F41052">
        <w:rPr>
          <w:b/>
        </w:rPr>
        <w:t>Proposal 1:</w:t>
      </w:r>
      <w:r>
        <w:t xml:space="preserve"> Introduce new MAC CE for the new type of BSR including both available and expected data and call it “Predictive BSR”.</w:t>
      </w:r>
    </w:p>
    <w:p w14:paraId="644004A0" w14:textId="77777777" w:rsidR="005D59F2" w:rsidRDefault="005D59F2" w:rsidP="005D59F2">
      <w:r w:rsidRPr="00F41052">
        <w:rPr>
          <w:b/>
        </w:rPr>
        <w:t>Proposal 2:</w:t>
      </w:r>
      <w:r>
        <w:t xml:space="preserve"> Predictive BSR should be triggered based on UL grants sent to child nodes and access UEs, not based on received SR/BSR.</w:t>
      </w:r>
    </w:p>
    <w:p w14:paraId="60449C3F" w14:textId="651E54C3" w:rsidR="00A209D6" w:rsidRPr="00212C18" w:rsidRDefault="005D59F2" w:rsidP="00A209D6">
      <w:r w:rsidRPr="00F41052">
        <w:rPr>
          <w:b/>
        </w:rPr>
        <w:t>Proposal 3:</w:t>
      </w:r>
      <w:r>
        <w:t xml:space="preserve"> Predictive BSR should take into account</w:t>
      </w:r>
      <w:r>
        <w:br/>
        <w:t>- data volume already in the IAB node buffer</w:t>
      </w:r>
      <w:r>
        <w:br/>
        <w:t>- expected/predicted data volume based on sent UL grants.</w:t>
      </w:r>
    </w:p>
    <w:p w14:paraId="432B0A82" w14:textId="3472A3BA" w:rsidR="00A209D6" w:rsidRPr="00212C18" w:rsidRDefault="00C373B5" w:rsidP="003E2413">
      <w:pPr>
        <w:pStyle w:val="Heading1"/>
      </w:pPr>
      <w:r w:rsidRPr="00212C18">
        <w:t>References</w:t>
      </w:r>
    </w:p>
    <w:p w14:paraId="7B91B03E" w14:textId="5A4FD7F2" w:rsidR="00B938B4" w:rsidRDefault="00C373B5" w:rsidP="00E1058E">
      <w:r w:rsidRPr="00212C18">
        <w:t>[1]</w:t>
      </w:r>
      <w:r w:rsidRPr="00212C18">
        <w:tab/>
        <w:t>R2-1900</w:t>
      </w:r>
      <w:r w:rsidR="00214D89">
        <w:t>310</w:t>
      </w:r>
      <w:r w:rsidRPr="00212C18">
        <w:tab/>
      </w:r>
      <w:r w:rsidR="00214D89" w:rsidRPr="00214D89">
        <w:t>Triggering condition of Pre-BSR</w:t>
      </w:r>
      <w:r w:rsidR="00214D89">
        <w:t xml:space="preserve">, </w:t>
      </w:r>
      <w:r w:rsidR="00214D89" w:rsidRPr="00214D89">
        <w:rPr>
          <w:i/>
        </w:rPr>
        <w:t>vivo</w:t>
      </w:r>
    </w:p>
    <w:p w14:paraId="441C378E" w14:textId="2F0544D4" w:rsidR="00214D89" w:rsidRDefault="00DA265E" w:rsidP="00E1058E">
      <w:r>
        <w:lastRenderedPageBreak/>
        <w:t>[2]</w:t>
      </w:r>
      <w:r>
        <w:tab/>
        <w:t>R2-1900568</w:t>
      </w:r>
      <w:r>
        <w:tab/>
      </w:r>
      <w:r w:rsidRPr="00DA265E">
        <w:t>Discussion on low latency scheduling in IAB</w:t>
      </w:r>
      <w:r>
        <w:t xml:space="preserve">, </w:t>
      </w:r>
      <w:r w:rsidRPr="00DA265E">
        <w:rPr>
          <w:i/>
        </w:rPr>
        <w:t>ZTE, Sanechips</w:t>
      </w:r>
    </w:p>
    <w:p w14:paraId="782E47FD" w14:textId="147B2F04" w:rsidR="00DA265E" w:rsidRDefault="00DA265E" w:rsidP="00E1058E">
      <w:r>
        <w:t>[3]</w:t>
      </w:r>
      <w:r>
        <w:tab/>
        <w:t>R2-1900925</w:t>
      </w:r>
      <w:r>
        <w:tab/>
      </w:r>
      <w:r w:rsidRPr="00DA265E">
        <w:t>Consideration of low latency scheduling for multi-hop backhauling</w:t>
      </w:r>
      <w:r>
        <w:t xml:space="preserve">, </w:t>
      </w:r>
      <w:r w:rsidRPr="00DA265E">
        <w:rPr>
          <w:i/>
        </w:rPr>
        <w:t>Kyocera</w:t>
      </w:r>
    </w:p>
    <w:p w14:paraId="54C756C9" w14:textId="00A60430" w:rsidR="00DA265E" w:rsidRPr="00212C18" w:rsidRDefault="00DA265E" w:rsidP="00E1058E">
      <w:r>
        <w:t>[4]</w:t>
      </w:r>
      <w:r>
        <w:tab/>
        <w:t>R2-1901030</w:t>
      </w:r>
      <w:r>
        <w:tab/>
      </w:r>
      <w:r w:rsidRPr="00DA265E">
        <w:t>Discussion on SR/BSR triggering in multi-hop IAB network</w:t>
      </w:r>
      <w:r>
        <w:t xml:space="preserve">, </w:t>
      </w:r>
      <w:r w:rsidRPr="00DA265E">
        <w:rPr>
          <w:i/>
        </w:rPr>
        <w:t>ASUSTeK</w:t>
      </w:r>
    </w:p>
    <w:p w14:paraId="45B57DA3" w14:textId="691CCC49" w:rsidR="00B938B4" w:rsidRPr="00212C18" w:rsidRDefault="00DA265E" w:rsidP="00A209D6">
      <w:r>
        <w:t>[5]</w:t>
      </w:r>
      <w:r>
        <w:tab/>
        <w:t>R2-190</w:t>
      </w:r>
      <w:r w:rsidR="00241EFE">
        <w:t>1198</w:t>
      </w:r>
      <w:r w:rsidR="00241EFE">
        <w:tab/>
      </w:r>
      <w:r w:rsidR="00241EFE" w:rsidRPr="00241EFE">
        <w:t>On pre-emptive SR and BSR in IAB networks</w:t>
      </w:r>
      <w:r w:rsidR="00241EFE">
        <w:t xml:space="preserve">, </w:t>
      </w:r>
      <w:r w:rsidR="00241EFE" w:rsidRPr="00241EFE">
        <w:rPr>
          <w:i/>
        </w:rPr>
        <w:t>Samsung</w:t>
      </w:r>
    </w:p>
    <w:p w14:paraId="653EED19" w14:textId="4CA621D0" w:rsidR="00A209D6" w:rsidRPr="00212C18" w:rsidRDefault="00241EFE" w:rsidP="00A209D6">
      <w:r>
        <w:t>[6]</w:t>
      </w:r>
      <w:r>
        <w:tab/>
        <w:t>R2-1901328</w:t>
      </w:r>
      <w:r>
        <w:tab/>
      </w:r>
      <w:r w:rsidRPr="00241EFE">
        <w:t>Uplink Scheduling in IAB Networks: BSR, SR, and LCP</w:t>
      </w:r>
      <w:r>
        <w:t xml:space="preserve">, </w:t>
      </w:r>
      <w:r w:rsidRPr="00241EFE">
        <w:rPr>
          <w:i/>
        </w:rPr>
        <w:t>Ericsson</w:t>
      </w:r>
    </w:p>
    <w:p w14:paraId="35F222F4" w14:textId="6C522331" w:rsidR="00080512" w:rsidRDefault="00C624B0" w:rsidP="00A209D6">
      <w:pPr>
        <w:rPr>
          <w:i/>
        </w:rPr>
      </w:pPr>
      <w:r>
        <w:t>[7]</w:t>
      </w:r>
      <w:r>
        <w:tab/>
        <w:t>R2-1901391</w:t>
      </w:r>
      <w:r>
        <w:tab/>
      </w:r>
      <w:r w:rsidRPr="00C624B0">
        <w:t>Uplink Latency Reduction</w:t>
      </w:r>
      <w:r>
        <w:t xml:space="preserve">, </w:t>
      </w:r>
      <w:r w:rsidRPr="00C624B0">
        <w:rPr>
          <w:i/>
        </w:rPr>
        <w:t>Intel Corporation</w:t>
      </w:r>
    </w:p>
    <w:p w14:paraId="261CEF29" w14:textId="7F92B55A" w:rsidR="00C624B0" w:rsidRDefault="00C624B0" w:rsidP="00A209D6">
      <w:r>
        <w:t>[8]</w:t>
      </w:r>
      <w:r>
        <w:tab/>
        <w:t>R2-1901419</w:t>
      </w:r>
      <w:r>
        <w:tab/>
      </w:r>
      <w:r w:rsidRPr="00C624B0">
        <w:t>IAB user plane discussion</w:t>
      </w:r>
      <w:r>
        <w:t xml:space="preserve">, </w:t>
      </w:r>
      <w:r w:rsidRPr="00C624B0">
        <w:rPr>
          <w:i/>
        </w:rPr>
        <w:t>Sony</w:t>
      </w:r>
    </w:p>
    <w:p w14:paraId="3A443E7F" w14:textId="66DBCE29" w:rsidR="00C624B0" w:rsidRDefault="00C624B0" w:rsidP="00A209D6">
      <w:r>
        <w:t>[9]</w:t>
      </w:r>
      <w:r>
        <w:tab/>
        <w:t>R2-1901834</w:t>
      </w:r>
      <w:r>
        <w:tab/>
      </w:r>
      <w:r w:rsidRPr="00C624B0">
        <w:t>Uplink scheduling enhancement</w:t>
      </w:r>
      <w:r>
        <w:t xml:space="preserve">, </w:t>
      </w:r>
      <w:r w:rsidRPr="00C624B0">
        <w:rPr>
          <w:i/>
        </w:rPr>
        <w:t>Huawei, HiSilicon</w:t>
      </w:r>
    </w:p>
    <w:p w14:paraId="1980E239" w14:textId="77777777" w:rsidR="00C624B0" w:rsidRPr="00A209D6" w:rsidRDefault="00C624B0" w:rsidP="00A209D6"/>
    <w:sectPr w:rsidR="00C624B0"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AED4" w14:textId="77777777" w:rsidR="009B4E88" w:rsidRDefault="009B4E88">
      <w:r>
        <w:separator/>
      </w:r>
    </w:p>
  </w:endnote>
  <w:endnote w:type="continuationSeparator" w:id="0">
    <w:p w14:paraId="338CA421" w14:textId="77777777" w:rsidR="009B4E88" w:rsidRDefault="009B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B4E88" w:rsidRDefault="009B4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B4E88" w:rsidRDefault="009B4E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B4E88" w:rsidRDefault="009B4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B1F5" w14:textId="77777777" w:rsidR="009B4E88" w:rsidRDefault="009B4E88">
      <w:r>
        <w:separator/>
      </w:r>
    </w:p>
  </w:footnote>
  <w:footnote w:type="continuationSeparator" w:id="0">
    <w:p w14:paraId="585EE600" w14:textId="77777777" w:rsidR="009B4E88" w:rsidRDefault="009B4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B4E88" w:rsidRDefault="009B4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B4E88" w:rsidRDefault="009B4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B4E88" w:rsidRDefault="009B4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3096A"/>
    <w:rsid w:val="00033397"/>
    <w:rsid w:val="00040095"/>
    <w:rsid w:val="000415D4"/>
    <w:rsid w:val="00062B5F"/>
    <w:rsid w:val="00066835"/>
    <w:rsid w:val="00073C9C"/>
    <w:rsid w:val="00080512"/>
    <w:rsid w:val="00087A65"/>
    <w:rsid w:val="0009046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200"/>
    <w:rsid w:val="001741A0"/>
    <w:rsid w:val="00175FA0"/>
    <w:rsid w:val="001864C4"/>
    <w:rsid w:val="00194CD0"/>
    <w:rsid w:val="001A6B32"/>
    <w:rsid w:val="001B49C9"/>
    <w:rsid w:val="001C4584"/>
    <w:rsid w:val="001C4F79"/>
    <w:rsid w:val="001C7027"/>
    <w:rsid w:val="001D43A4"/>
    <w:rsid w:val="001F168B"/>
    <w:rsid w:val="001F4CA8"/>
    <w:rsid w:val="001F7831"/>
    <w:rsid w:val="00204045"/>
    <w:rsid w:val="0020712B"/>
    <w:rsid w:val="00212C18"/>
    <w:rsid w:val="00214D89"/>
    <w:rsid w:val="00225728"/>
    <w:rsid w:val="0022606D"/>
    <w:rsid w:val="00226DEB"/>
    <w:rsid w:val="00231728"/>
    <w:rsid w:val="00241EFE"/>
    <w:rsid w:val="002429D1"/>
    <w:rsid w:val="002556D7"/>
    <w:rsid w:val="002610D8"/>
    <w:rsid w:val="00267AD1"/>
    <w:rsid w:val="002747EC"/>
    <w:rsid w:val="002831F5"/>
    <w:rsid w:val="002855BF"/>
    <w:rsid w:val="00294879"/>
    <w:rsid w:val="002A7437"/>
    <w:rsid w:val="002B123C"/>
    <w:rsid w:val="002B3886"/>
    <w:rsid w:val="002C2BE6"/>
    <w:rsid w:val="002C2CE3"/>
    <w:rsid w:val="002D065B"/>
    <w:rsid w:val="002E702D"/>
    <w:rsid w:val="002F0D22"/>
    <w:rsid w:val="002F5185"/>
    <w:rsid w:val="002F60E0"/>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565C1"/>
    <w:rsid w:val="00465587"/>
    <w:rsid w:val="00477455"/>
    <w:rsid w:val="0048036C"/>
    <w:rsid w:val="00485AA7"/>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C7A2A"/>
    <w:rsid w:val="005D59F2"/>
    <w:rsid w:val="00605AE3"/>
    <w:rsid w:val="00611566"/>
    <w:rsid w:val="00625733"/>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81F0F"/>
    <w:rsid w:val="0078727C"/>
    <w:rsid w:val="0079049D"/>
    <w:rsid w:val="00793DC5"/>
    <w:rsid w:val="007974F9"/>
    <w:rsid w:val="007B18D8"/>
    <w:rsid w:val="007C095F"/>
    <w:rsid w:val="007C2DD0"/>
    <w:rsid w:val="007D0FA6"/>
    <w:rsid w:val="007E44CC"/>
    <w:rsid w:val="007E44CE"/>
    <w:rsid w:val="007F30B9"/>
    <w:rsid w:val="008028A4"/>
    <w:rsid w:val="00813245"/>
    <w:rsid w:val="00827467"/>
    <w:rsid w:val="008768CA"/>
    <w:rsid w:val="00877EF9"/>
    <w:rsid w:val="00880559"/>
    <w:rsid w:val="0088446C"/>
    <w:rsid w:val="00886AA4"/>
    <w:rsid w:val="008A36C4"/>
    <w:rsid w:val="008A5100"/>
    <w:rsid w:val="008B5306"/>
    <w:rsid w:val="008B7A7B"/>
    <w:rsid w:val="008D2E4D"/>
    <w:rsid w:val="008D7245"/>
    <w:rsid w:val="008E7E3A"/>
    <w:rsid w:val="008F1984"/>
    <w:rsid w:val="008F396F"/>
    <w:rsid w:val="008F5FC1"/>
    <w:rsid w:val="0090271F"/>
    <w:rsid w:val="00902DB9"/>
    <w:rsid w:val="0090466A"/>
    <w:rsid w:val="00936071"/>
    <w:rsid w:val="00940212"/>
    <w:rsid w:val="00942EC2"/>
    <w:rsid w:val="0095042E"/>
    <w:rsid w:val="00961B32"/>
    <w:rsid w:val="00962509"/>
    <w:rsid w:val="00970DB3"/>
    <w:rsid w:val="00974BB0"/>
    <w:rsid w:val="00981FC9"/>
    <w:rsid w:val="0099261A"/>
    <w:rsid w:val="00994317"/>
    <w:rsid w:val="009A0AF3"/>
    <w:rsid w:val="009B07CD"/>
    <w:rsid w:val="009B110A"/>
    <w:rsid w:val="009B4E88"/>
    <w:rsid w:val="009B5520"/>
    <w:rsid w:val="009B6F1F"/>
    <w:rsid w:val="009B709D"/>
    <w:rsid w:val="009C19E9"/>
    <w:rsid w:val="009D5C85"/>
    <w:rsid w:val="009D74A6"/>
    <w:rsid w:val="00A03B77"/>
    <w:rsid w:val="00A10F02"/>
    <w:rsid w:val="00A1139B"/>
    <w:rsid w:val="00A136C9"/>
    <w:rsid w:val="00A14A06"/>
    <w:rsid w:val="00A204CA"/>
    <w:rsid w:val="00A209D6"/>
    <w:rsid w:val="00A328D4"/>
    <w:rsid w:val="00A35DD1"/>
    <w:rsid w:val="00A53724"/>
    <w:rsid w:val="00A54B2B"/>
    <w:rsid w:val="00A6217A"/>
    <w:rsid w:val="00A738BA"/>
    <w:rsid w:val="00A75E2C"/>
    <w:rsid w:val="00A82346"/>
    <w:rsid w:val="00A8737D"/>
    <w:rsid w:val="00A8792B"/>
    <w:rsid w:val="00A9671C"/>
    <w:rsid w:val="00AA1553"/>
    <w:rsid w:val="00AA2288"/>
    <w:rsid w:val="00AB057E"/>
    <w:rsid w:val="00AB149E"/>
    <w:rsid w:val="00AC0A8E"/>
    <w:rsid w:val="00AF3BE8"/>
    <w:rsid w:val="00B05380"/>
    <w:rsid w:val="00B0550D"/>
    <w:rsid w:val="00B05962"/>
    <w:rsid w:val="00B15449"/>
    <w:rsid w:val="00B27303"/>
    <w:rsid w:val="00B47FD1"/>
    <w:rsid w:val="00B516BB"/>
    <w:rsid w:val="00B525A4"/>
    <w:rsid w:val="00B84DB2"/>
    <w:rsid w:val="00B85134"/>
    <w:rsid w:val="00B938B4"/>
    <w:rsid w:val="00BB1D64"/>
    <w:rsid w:val="00BC3555"/>
    <w:rsid w:val="00BD3C4A"/>
    <w:rsid w:val="00BF1E26"/>
    <w:rsid w:val="00C0491E"/>
    <w:rsid w:val="00C12B51"/>
    <w:rsid w:val="00C210CD"/>
    <w:rsid w:val="00C23C66"/>
    <w:rsid w:val="00C24650"/>
    <w:rsid w:val="00C24FCA"/>
    <w:rsid w:val="00C25465"/>
    <w:rsid w:val="00C33079"/>
    <w:rsid w:val="00C36505"/>
    <w:rsid w:val="00C373B5"/>
    <w:rsid w:val="00C37F35"/>
    <w:rsid w:val="00C624B0"/>
    <w:rsid w:val="00C62EAC"/>
    <w:rsid w:val="00C74EC0"/>
    <w:rsid w:val="00C81E94"/>
    <w:rsid w:val="00C83A13"/>
    <w:rsid w:val="00C9068C"/>
    <w:rsid w:val="00C92967"/>
    <w:rsid w:val="00C94E0D"/>
    <w:rsid w:val="00CA3D0C"/>
    <w:rsid w:val="00CA654B"/>
    <w:rsid w:val="00CB72B8"/>
    <w:rsid w:val="00CD2C2D"/>
    <w:rsid w:val="00CD4C7B"/>
    <w:rsid w:val="00CE0093"/>
    <w:rsid w:val="00D33BE3"/>
    <w:rsid w:val="00D3792D"/>
    <w:rsid w:val="00D55E47"/>
    <w:rsid w:val="00D62E19"/>
    <w:rsid w:val="00D67CD1"/>
    <w:rsid w:val="00D738D6"/>
    <w:rsid w:val="00D80795"/>
    <w:rsid w:val="00D854BE"/>
    <w:rsid w:val="00D87E00"/>
    <w:rsid w:val="00D9134D"/>
    <w:rsid w:val="00D96D11"/>
    <w:rsid w:val="00DA265E"/>
    <w:rsid w:val="00DA7A03"/>
    <w:rsid w:val="00DB0DB8"/>
    <w:rsid w:val="00DB1818"/>
    <w:rsid w:val="00DB6666"/>
    <w:rsid w:val="00DC309B"/>
    <w:rsid w:val="00DC4DA2"/>
    <w:rsid w:val="00DD77D8"/>
    <w:rsid w:val="00E010AD"/>
    <w:rsid w:val="00E02F11"/>
    <w:rsid w:val="00E1058E"/>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7388"/>
    <w:rsid w:val="00F2026E"/>
    <w:rsid w:val="00F2210A"/>
    <w:rsid w:val="00F37743"/>
    <w:rsid w:val="00F41052"/>
    <w:rsid w:val="00F45771"/>
    <w:rsid w:val="00F54A3D"/>
    <w:rsid w:val="00F54CB0"/>
    <w:rsid w:val="00F628FB"/>
    <w:rsid w:val="00F653B8"/>
    <w:rsid w:val="00F71B89"/>
    <w:rsid w:val="00F7353C"/>
    <w:rsid w:val="00F76F8F"/>
    <w:rsid w:val="00F82A09"/>
    <w:rsid w:val="00F941DF"/>
    <w:rsid w:val="00FA1266"/>
    <w:rsid w:val="00FB36FA"/>
    <w:rsid w:val="00FC0643"/>
    <w:rsid w:val="00FC1192"/>
    <w:rsid w:val="00FD181E"/>
    <w:rsid w:val="00FE06E0"/>
    <w:rsid w:val="00FE251B"/>
    <w:rsid w:val="00FF2110"/>
    <w:rsid w:val="00FF593C"/>
    <w:rsid w:val="295AD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C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C06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5AIRPNAIUNRU-859666464-4947</_dlc_DocId>
    <_dlc_DocIdUrl xmlns="71c5aaf6-e6ce-465b-b873-5148d2a4c105">
      <Url>https://nokia.sharepoint.com/sites/c5g/e2earch/_layouts/15/DocIdRedir.aspx?ID=5AIRPNAIUNRU-859666464-4947</Url>
      <Description>5AIRPNAIUNRU-859666464-4947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3b34c8f0-1ef5-4d1e-bb66-517ce7fe7356"/>
    <ds:schemaRef ds:uri="http://schemas.microsoft.com/office/2006/documentManagement/types"/>
    <ds:schemaRef ds:uri="http://purl.org/dc/terms/"/>
    <ds:schemaRef ds:uri="http://schemas.openxmlformats.org/package/2006/metadata/core-properties"/>
    <ds:schemaRef ds:uri="http://www.w3.org/XML/1998/namespace"/>
    <ds:schemaRef ds:uri="a3840f4f-04be-43d1-b2ef-6ff1382503c7"/>
    <ds:schemaRef ds:uri="http://purl.org/dc/elements/1.1/"/>
    <ds:schemaRef ds:uri="83f22d2f-d16e-4be6-ad4f-29fa0b067c3c"/>
    <ds:schemaRef ds:uri="http://schemas.microsoft.com/office/infopath/2007/PartnerControl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4A1375E-0CAB-4483-B2F3-8FBA2FCF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894</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6</cp:revision>
  <dcterms:created xsi:type="dcterms:W3CDTF">2019-03-28T15:41:00Z</dcterms:created>
  <dcterms:modified xsi:type="dcterms:W3CDTF">2019-05-02T14:22:00Z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2d9f4f6d-1470-4c13-ad7b-f40d5341c56c</vt:lpwstr>
  </property>
</Properties>
</file>